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entury Gothic" w:hAnsi="Century Gothic"/>
          <w:b/>
          <w:b/>
          <w:bCs/>
          <w:color w:val="006699"/>
          <w:sz w:val="12"/>
          <w:szCs w:val="12"/>
        </w:rPr>
      </w:pPr>
      <w:r>
        <w:rPr>
          <w:rFonts w:ascii="Century Gothic" w:hAnsi="Century Gothic"/>
          <w:b/>
          <w:bCs/>
          <w:color w:val="006699"/>
          <w:sz w:val="12"/>
          <w:szCs w:val="12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sz w:val="28"/>
          <w:szCs w:val="28"/>
        </w:rPr>
        <w:t>Обратиться в ПФР можно вне зависимости от места жительства</w:t>
      </w:r>
    </w:p>
    <w:p>
      <w:pPr>
        <w:pStyle w:val="Normal"/>
        <w:jc w:val="both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Практически за всеми услугами по линии Пенсионного фонда России граждане могут обращаться в любой территориальный орган ПФР в пределах территории России вне зависимости от места жительства, места пребывания или фактического проживания.* </w:t>
        <w:tab/>
        <w:t xml:space="preserve">Сегодня 25 госуслуг ПФР, в том числе установление пенсии; установление ежемесячной денежной выплаты (ЕДВ) отдельным категориям граждан; получение справки о статусе предпенсионера; осуществление компенсационных выплат неработающим трудоспособным лицам, осуществляющим уход за нетрудоспособными гражданами;  выплата страховых пенсий, накопительной пенсии и пенсий по государственному пенсионному обеспечению; выдача государственного сертификата на материнский капитал; рассмотрение заявления о распоряжении средствами (частью средств) маткапитала; информирование о размере  материнского капитала — можно получить в другом районе, в другом городе, например, в отпуске или в командировке.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При этом принцип экстерриториальности при предоставлении государственных услуг ПФР распространяется как на заявления, принятые при личном обращении граждан в клиентскую службу, так и представленные в форме электронного документа через портал Госуслуг.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Возможность обращения в любой территориальный орган ПФР  - это ещё один шаг в направлении доступности государственных услуг для граждан России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ascii="Century Gothic" w:hAnsi="Century Gothic"/>
          <w:b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4"/>
          <w:szCs w:val="24"/>
        </w:rPr>
        <w:t xml:space="preserve">*Распоряжение Правительства РФ от 19.01.2018 г. № 43-р 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ЦЕНТР ПФР № 1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в Волгоградской области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 w:eastAsia="Times New Roman" w:cs="Times New Roman"/>
          <w:b/>
          <w:b/>
          <w:bCs/>
          <w:color w:val="006699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6699"/>
          <w:sz w:val="28"/>
          <w:szCs w:val="28"/>
          <w:lang w:eastAsia="ru-RU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3"/>
    <w:pPr/>
    <w:rPr/>
  </w:style>
  <w:style w:type="paragraph" w:styleId="2">
    <w:name w:val="Заголовок 2"/>
    <w:basedOn w:val="Style13"/>
    <w:pPr/>
    <w:rPr/>
  </w:style>
  <w:style w:type="paragraph" w:styleId="3">
    <w:name w:val="Заголовок 3"/>
    <w:basedOn w:val="Style13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40"/>
    </w:pPr>
    <w:rPr/>
  </w:style>
  <w:style w:type="paragraph" w:styleId="Style15">
    <w:name w:val="Список"/>
    <w:basedOn w:val="Style14"/>
    <w:pPr/>
    <w:rPr>
      <w:rFonts w:cs="Mangal"/>
    </w:rPr>
  </w:style>
  <w:style w:type="paragraph" w:styleId="Style16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Верхний колонтитул"/>
    <w:basedOn w:val="Normal"/>
    <w:pPr/>
    <w:rPr/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3"/>
    <w:pPr/>
    <w:rPr/>
  </w:style>
  <w:style w:type="paragraph" w:styleId="Style23">
    <w:name w:val="Подзаголовок"/>
    <w:basedOn w:val="Style1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Application>LibreOffice/4.4.3.2$Windows_x86 LibreOffice_project/88805f81e9fe61362df02b9941de8e38a9b5fd16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2021-09-06T10:29:14Z</dcterms:modified>
  <cp:revision>98</cp:revision>
</cp:coreProperties>
</file>